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CỘNG HÒA XÃ HỘI CHỦ NGHĨA VIỆT NAM</w:t>
      </w:r>
    </w:p>
    <w:p>
      <w:pPr>
        <w:jc w:val="center"/>
      </w:pPr>
      <w:r>
        <w:rPr>
          <w:b/>
          <w:i w:val="0"/>
        </w:rPr>
        <w:t>Độc lập – Tự do – Hạnh phúc</w:t>
      </w:r>
    </w:p>
    <w:p>
      <w:pPr>
        <w:jc w:val="center"/>
      </w:pPr>
      <w:r>
        <w:rPr>
          <w:b w:val="0"/>
          <w:i w:val="0"/>
        </w:rPr>
        <w:t>―――――――</w:t>
      </w:r>
    </w:p>
    <w:p>
      <w:pPr>
        <w:spacing w:before="200"/>
        <w:jc w:val="center"/>
      </w:pPr>
      <w:r>
        <w:rPr>
          <w:b/>
          <w:i w:val="0"/>
          <w:sz w:val="30"/>
        </w:rPr>
        <w:t>HỢP ĐỒNG ĐẠI LÝ</w:t>
      </w:r>
    </w:p>
    <w:p>
      <w:pPr>
        <w:jc w:val="center"/>
      </w:pPr>
      <w:r>
        <w:rPr>
          <w:b w:val="0"/>
          <w:i/>
        </w:rPr>
        <w:t>(Mẫu tham khảo – đại lý bán trà và sản phẩm đi kèm)</w:t>
      </w:r>
    </w:p>
    <w:p>
      <w:pPr>
        <w:jc w:val="center"/>
      </w:pPr>
      <w:r>
        <w:rPr>
          <w:b w:val="0"/>
          <w:i w:val="0"/>
        </w:rPr>
        <w:t>Số: ……/HĐĐL</w:t>
      </w:r>
    </w:p>
    <w:p>
      <w:pPr>
        <w:jc w:val="both"/>
      </w:pPr>
      <w:r>
        <w:rPr>
          <w:b/>
          <w:i w:val="0"/>
        </w:rPr>
        <w:t>Căn cứ:</w:t>
      </w:r>
    </w:p>
    <w:p>
      <w:pPr>
        <w:jc w:val="both"/>
      </w:pPr>
      <w:r>
        <w:rPr>
          <w:b w:val="0"/>
          <w:i w:val="0"/>
        </w:rPr>
        <w:t>– Bộ luật Dân sự số 91/2015/QH13 ngày 24/11/2015;</w:t>
      </w:r>
    </w:p>
    <w:p>
      <w:pPr>
        <w:jc w:val="both"/>
      </w:pPr>
      <w:r>
        <w:rPr>
          <w:b w:val="0"/>
          <w:i w:val="0"/>
        </w:rPr>
        <w:t>– Luật Thương mại số 36/2005/QH11 ngày 14/6/2005, Mục 4 Chương V về đại lý thương mại (Điều 166 đến Điều 177);</w:t>
      </w:r>
    </w:p>
    <w:p>
      <w:pPr>
        <w:jc w:val="both"/>
      </w:pPr>
      <w:r>
        <w:rPr>
          <w:b w:val="0"/>
          <w:i w:val="0"/>
        </w:rPr>
        <w:t>– Các văn bản pháp luật hiện hành về hóa đơn, chứng từ, nhãn hàng hóa và an toàn thực phẩm;</w:t>
      </w:r>
    </w:p>
    <w:p>
      <w:pPr>
        <w:jc w:val="both"/>
      </w:pPr>
      <w:r>
        <w:rPr>
          <w:b w:val="0"/>
          <w:i w:val="0"/>
        </w:rPr>
        <w:t>– Nhu cầu và khả năng của hai bên.</w:t>
      </w:r>
    </w:p>
    <w:p>
      <w:pPr>
        <w:jc w:val="both"/>
      </w:pPr>
      <w:r>
        <w:rPr>
          <w:b w:val="0"/>
          <w:i w:val="0"/>
        </w:rPr>
        <w:t>Hôm nay, ngày …… tháng …… năm ……, tại ……, chúng tôi gồm:</w:t>
      </w:r>
    </w:p>
    <w:p>
      <w:pPr>
        <w:spacing w:before="80"/>
        <w:jc w:val="both"/>
      </w:pPr>
      <w:r>
        <w:rPr>
          <w:b/>
          <w:i w:val="0"/>
        </w:rPr>
        <w:t>BÊN GIAO ĐẠI LÝ (Bên A): ……</w:t>
      </w:r>
    </w:p>
    <w:p>
      <w:pPr>
        <w:jc w:val="both"/>
      </w:pPr>
      <w:r>
        <w:rPr>
          <w:b w:val="0"/>
          <w:i w:val="0"/>
        </w:rPr>
        <w:t>Địa chỉ trụ sở: ……</w:t>
      </w:r>
    </w:p>
    <w:p>
      <w:pPr>
        <w:jc w:val="both"/>
      </w:pPr>
      <w:r>
        <w:rPr>
          <w:b w:val="0"/>
          <w:i w:val="0"/>
        </w:rPr>
        <w:t>Mã số thuế/mã số hộ kinh doanh: ……</w:t>
      </w:r>
    </w:p>
    <w:p>
      <w:pPr>
        <w:jc w:val="both"/>
      </w:pPr>
      <w:r>
        <w:rPr>
          <w:b w:val="0"/>
          <w:i w:val="0"/>
        </w:rPr>
        <w:t>Giấy chứng nhận đăng ký kinh doanh số: …… cấp ngày …… tại ……</w:t>
      </w:r>
    </w:p>
    <w:p>
      <w:pPr>
        <w:jc w:val="both"/>
      </w:pPr>
      <w:r>
        <w:rPr>
          <w:b w:val="0"/>
          <w:i w:val="0"/>
        </w:rPr>
        <w:t>Điện thoại: ……   Email/Zalo nhận thông báo: ……</w:t>
      </w:r>
    </w:p>
    <w:p>
      <w:pPr>
        <w:jc w:val="both"/>
      </w:pPr>
      <w:r>
        <w:rPr>
          <w:b w:val="0"/>
          <w:i w:val="0"/>
        </w:rPr>
        <w:t>Tài khoản ngân hàng: …… tại ngân hàng ……</w:t>
      </w:r>
    </w:p>
    <w:p>
      <w:pPr>
        <w:jc w:val="both"/>
      </w:pPr>
      <w:r>
        <w:rPr>
          <w:b w:val="0"/>
          <w:i w:val="0"/>
        </w:rPr>
        <w:t>Người đại diện: ……   Chức vụ: ……</w:t>
      </w:r>
    </w:p>
    <w:p>
      <w:pPr>
        <w:jc w:val="both"/>
      </w:pPr>
      <w:r>
        <w:rPr>
          <w:b w:val="0"/>
          <w:i w:val="0"/>
        </w:rPr>
        <w:t>Giấy ủy quyền (nếu ký thay): số …… ngày ……</w:t>
      </w:r>
    </w:p>
    <w:p>
      <w:pPr>
        <w:spacing w:before="80"/>
        <w:jc w:val="both"/>
      </w:pPr>
      <w:r>
        <w:rPr>
          <w:b/>
          <w:i w:val="0"/>
        </w:rPr>
        <w:t>BÊN ĐẠI LÝ (Bên B): ……</w:t>
      </w:r>
    </w:p>
    <w:p>
      <w:pPr>
        <w:jc w:val="both"/>
      </w:pPr>
      <w:r>
        <w:rPr>
          <w:b w:val="0"/>
          <w:i w:val="0"/>
        </w:rPr>
        <w:t>Địa chỉ trụ sở: ……</w:t>
      </w:r>
    </w:p>
    <w:p>
      <w:pPr>
        <w:jc w:val="both"/>
      </w:pPr>
      <w:r>
        <w:rPr>
          <w:b w:val="0"/>
          <w:i w:val="0"/>
        </w:rPr>
        <w:t>Mã số thuế/mã số hộ kinh doanh: ……</w:t>
      </w:r>
    </w:p>
    <w:p>
      <w:pPr>
        <w:jc w:val="both"/>
      </w:pPr>
      <w:r>
        <w:rPr>
          <w:b w:val="0"/>
          <w:i w:val="0"/>
        </w:rPr>
        <w:t>Giấy chứng nhận đăng ký kinh doanh số: …… cấp ngày …… tại ……</w:t>
      </w:r>
    </w:p>
    <w:p>
      <w:pPr>
        <w:jc w:val="both"/>
      </w:pPr>
      <w:r>
        <w:rPr>
          <w:b w:val="0"/>
          <w:i w:val="0"/>
        </w:rPr>
        <w:t>Điện thoại: ……   Email/Zalo nhận thông báo: ……</w:t>
      </w:r>
    </w:p>
    <w:p>
      <w:pPr>
        <w:jc w:val="both"/>
      </w:pPr>
      <w:r>
        <w:rPr>
          <w:b w:val="0"/>
          <w:i w:val="0"/>
        </w:rPr>
        <w:t>Tài khoản ngân hàng: …… tại ngân hàng ……</w:t>
      </w:r>
    </w:p>
    <w:p>
      <w:pPr>
        <w:jc w:val="both"/>
      </w:pPr>
      <w:r>
        <w:rPr>
          <w:b w:val="0"/>
          <w:i w:val="0"/>
        </w:rPr>
        <w:t>Người đại diện: ……   Chức vụ: ……</w:t>
      </w:r>
    </w:p>
    <w:p>
      <w:pPr>
        <w:jc w:val="both"/>
      </w:pPr>
      <w:r>
        <w:rPr>
          <w:b w:val="0"/>
          <w:i w:val="0"/>
        </w:rPr>
        <w:t>Giấy ủy quyền (nếu ký thay): số …… ngày ……</w:t>
      </w:r>
    </w:p>
    <w:p>
      <w:pPr>
        <w:jc w:val="both"/>
      </w:pPr>
      <w:r>
        <w:rPr>
          <w:b w:val="0"/>
          <w:i/>
        </w:rPr>
        <w:t>Hướng dẫn: Ghi đúng tên trên giấy đăng ký kinh doanh của từng bên. Người ký thay phải có giấy ủy quyền còn hiệu lực; số điện thoại, email, Zalo ghi ở đây là kênh nhận thông báo chính thức của hợp đồng.</w:t>
      </w:r>
    </w:p>
    <w:p>
      <w:pPr>
        <w:jc w:val="both"/>
      </w:pPr>
      <w:r>
        <w:rPr>
          <w:b w:val="0"/>
          <w:i w:val="0"/>
        </w:rPr>
        <w:t>Hai bên thỏa thuận ký hợp đồng đại lý với các điều khoản sau:</w:t>
      </w:r>
    </w:p>
    <w:p>
      <w:pPr>
        <w:spacing w:before="160"/>
        <w:jc w:val="both"/>
      </w:pPr>
      <w:r>
        <w:rPr>
          <w:b/>
          <w:i w:val="0"/>
        </w:rPr>
        <w:t>Điều 1. Đối tượng hợp đồng</w:t>
      </w:r>
    </w:p>
    <w:p>
      <w:pPr>
        <w:jc w:val="both"/>
      </w:pPr>
      <w:r>
        <w:rPr>
          <w:b w:val="0"/>
          <w:i w:val="0"/>
        </w:rPr>
        <w:t>1.1. Bên A giao cho Bên B làm đại lý bán các loại trà và sản phẩm đi kèm (ấm chén, trà cụ, hộp quà, nếu có) theo danh mục tại Phụ lục 1. Bên B nhân danh chính mình bán hàng cho khách hàng và hưởng thù lao theo Điều 3.</w:t>
      </w:r>
    </w:p>
    <w:p>
      <w:pPr>
        <w:jc w:val="both"/>
      </w:pPr>
      <w:r>
        <w:rPr>
          <w:b w:val="0"/>
          <w:i w:val="0"/>
        </w:rPr>
        <w:t>1.2. Mỗi mặt hàng ghi rõ tên hàng, hạng/loại, quy cách đóng gói, đơn vị tính. Hàng mới được bổ sung vào danh mục bằng phụ lục có chữ ký hai bên.</w:t>
      </w:r>
    </w:p>
    <w:p>
      <w:pPr>
        <w:jc w:val="both"/>
      </w:pPr>
      <w:r>
        <w:rPr>
          <w:b w:val="0"/>
          <w:i w:val="0"/>
        </w:rPr>
        <w:t>1.3. Chứng từ đi kèm hàng hóa do Bên A cung cấp: …… (ví dụ: bản tự công bố sản phẩm, phiếu kết quả kiểm nghiệm, giấy chứng nhận cơ sở đủ điều kiện an toàn thực phẩm).</w:t>
      </w:r>
    </w:p>
    <w:p>
      <w:pPr>
        <w:spacing w:before="160"/>
        <w:jc w:val="both"/>
      </w:pPr>
      <w:r>
        <w:rPr>
          <w:b/>
          <w:i w:val="0"/>
        </w:rPr>
        <w:t>Điều 2. Hình thức đại lý và quyền sở hữu hàng hóa</w:t>
      </w:r>
    </w:p>
    <w:p>
      <w:pPr>
        <w:jc w:val="both"/>
      </w:pPr>
      <w:r>
        <w:rPr>
          <w:b w:val="0"/>
          <w:i w:val="0"/>
        </w:rPr>
        <w:t>2.1. Hai bên chọn hình thức đại lý (đánh dấu một ô):</w:t>
      </w:r>
    </w:p>
    <w:p>
      <w:r>
        <w:rPr>
          <w:b w:val="0"/>
          <w:i w:val="0"/>
        </w:rPr>
        <w:t xml:space="preserve">     ☐ Đại lý bao tiêu: Bên B bán trọn vẹn một khối lượng hàng hóa cho Bên A;</w:t>
      </w:r>
    </w:p>
    <w:p>
      <w:r>
        <w:rPr>
          <w:b w:val="0"/>
          <w:i w:val="0"/>
        </w:rPr>
        <w:t xml:space="preserve">     ☐ Đại lý độc quyền: tại khu vực ở Phụ lục 2, Bên A chỉ giao cho Bên B làm đại lý cho mặt hàng đã ghi;</w:t>
      </w:r>
    </w:p>
    <w:p>
      <w:r>
        <w:rPr>
          <w:b w:val="0"/>
          <w:i w:val="0"/>
        </w:rPr>
        <w:t xml:space="preserve">     ☐ Tổng đại lý: Bên B tổ chức hệ thống đại lý trực thuộc trong khu vực ở Phụ lục 2;</w:t>
      </w:r>
    </w:p>
    <w:p>
      <w:r>
        <w:rPr>
          <w:b w:val="0"/>
          <w:i w:val="0"/>
        </w:rPr>
        <w:t xml:space="preserve">     ☐ Hình thức khác: ……</w:t>
      </w:r>
    </w:p>
    <w:p>
      <w:pPr>
        <w:jc w:val="both"/>
      </w:pPr>
      <w:r>
        <w:rPr>
          <w:b w:val="0"/>
          <w:i w:val="0"/>
        </w:rPr>
        <w:t>2.2. Hàng hóa Bên A giao cho Bên B để bán thuộc sở hữu của Bên A cho đến khi bán cho khách hàng. Bên B bảo quản hàng như tài sản của mình và chịu rủi ro với hàng đang giữ, trừ trường hợp do lỗi của Bên A.</w:t>
      </w:r>
    </w:p>
    <w:p>
      <w:pPr>
        <w:jc w:val="both"/>
      </w:pPr>
      <w:r>
        <w:rPr>
          <w:b w:val="0"/>
          <w:i w:val="0"/>
        </w:rPr>
        <w:t>2.3. Bên B …… (được/không được) làm đại lý cho bên khác bán cùng loại hàng trong khu vực tại Phụ lục 2.</w:t>
      </w:r>
    </w:p>
    <w:p>
      <w:pPr>
        <w:jc w:val="both"/>
      </w:pPr>
      <w:r>
        <w:rPr>
          <w:b w:val="0"/>
          <w:i/>
        </w:rPr>
        <w:t>Hướng dẫn: Theo Điều 169 và 170 Luật Thương mại 2005, đại lý có các hình thức bao tiêu, độc quyền, tổng đại lý và hình thức khác; bên giao đại lý là chủ sở hữu hàng đã giao. Nếu Bên B mua đứt hàng và tự chịu toàn bộ tồn kho thì bản chất là hợp đồng mua bán, nên dùng mẫu hợp đồng mua bán thay cho mẫu này.</w:t>
      </w:r>
    </w:p>
    <w:p>
      <w:pPr>
        <w:spacing w:before="160"/>
        <w:jc w:val="both"/>
      </w:pPr>
      <w:r>
        <w:rPr>
          <w:b/>
          <w:i w:val="0"/>
        </w:rPr>
        <w:t>Điều 3. Giá bán và thù lao đại lý</w:t>
      </w:r>
    </w:p>
    <w:p>
      <w:pPr>
        <w:jc w:val="both"/>
      </w:pPr>
      <w:r>
        <w:rPr>
          <w:b w:val="0"/>
          <w:i w:val="0"/>
        </w:rPr>
        <w:t>3.1. Giá bán cho khách hàng: Bên B bán theo giá niêm yết của Bên A ghi tại Phụ lục 1. Mức giảm giá tối đa Bên B được tự áp dụng: ……% trên giá niêm yết; mức giảm cao hơn phải được Bên A đồng ý bằng văn bản.</w:t>
      </w:r>
    </w:p>
    <w:p>
      <w:pPr>
        <w:jc w:val="both"/>
      </w:pPr>
      <w:r>
        <w:rPr>
          <w:b w:val="0"/>
          <w:i w:val="0"/>
        </w:rPr>
        <w:t>3.2. Giá niêm yết áp dụng cho mọi kênh bán của Bên B, kể cả bán trên sàn thương mại điện tử, mạng xã hội và website. Kênh online được phép: …….</w:t>
      </w:r>
    </w:p>
    <w:p>
      <w:pPr>
        <w:jc w:val="both"/>
      </w:pPr>
      <w:r>
        <w:rPr>
          <w:b w:val="0"/>
          <w:i w:val="0"/>
        </w:rPr>
        <w:t>3.3. Thù lao đại lý trả theo hình thức (đánh dấu một ô):</w:t>
      </w:r>
    </w:p>
    <w:p>
      <w:r>
        <w:rPr>
          <w:b w:val="0"/>
          <w:i w:val="0"/>
        </w:rPr>
        <w:t xml:space="preserve">     ☐ Hoa hồng: ……% trên giá niêm yết của hàng đã bán;</w:t>
      </w:r>
    </w:p>
    <w:p>
      <w:r>
        <w:rPr>
          <w:b w:val="0"/>
          <w:i w:val="0"/>
        </w:rPr>
        <w:t xml:space="preserve">     ☐ Chênh lệch giá: Bên B nhận hàng theo giá giao đại lý ghi tại Phụ lục 1 và hưởng phần chênh lệch giữa giá bán và giá giao đại lý.</w:t>
      </w:r>
    </w:p>
    <w:p>
      <w:pPr>
        <w:jc w:val="both"/>
      </w:pPr>
      <w:r>
        <w:rPr>
          <w:b w:val="0"/>
          <w:i w:val="0"/>
        </w:rPr>
        <w:t>3.4. Nhóm hàng có mức thù lao riêng (ví dụ: ấm chén, trà cụ, hộp quà): ghi tại Phụ lục 1. Thưởng doanh số (nếu có): …….</w:t>
      </w:r>
    </w:p>
    <w:p>
      <w:pPr>
        <w:jc w:val="both"/>
      </w:pPr>
      <w:r>
        <w:rPr>
          <w:b w:val="0"/>
          <w:i/>
        </w:rPr>
        <w:t>Hướng dẫn: Ghi rõ tỷ lệ tính trên giá nào (giá niêm yết đã hay chưa gồm thuế GTGT). Mức thù lao lấy đúng theo chính sách đại lý bằng văn bản Bên A đã gửi. Theo Điều 171 Luật Thương mại 2005, nếu không thỏa thuận mức thù lao thì áp dụng mức đã trả trước đó, rồi mức trung bình trả cho đại lý khác, rồi mức thông thường trên thị trường – ghi rõ để khỏi tranh cãi.</w:t>
      </w:r>
    </w:p>
    <w:p>
      <w:pPr>
        <w:spacing w:before="160"/>
        <w:jc w:val="both"/>
      </w:pPr>
      <w:r>
        <w:rPr>
          <w:b/>
          <w:i w:val="0"/>
        </w:rPr>
        <w:t>Điều 4. Khu vực đại lý và bảo hộ khu vực</w:t>
      </w:r>
    </w:p>
    <w:p>
      <w:pPr>
        <w:jc w:val="both"/>
      </w:pPr>
      <w:r>
        <w:rPr>
          <w:b w:val="0"/>
          <w:i w:val="0"/>
        </w:rPr>
        <w:t>4.1. Khu vực đại lý của Bên B ghi tại Phụ lục 2, theo đơn vị hành chính cụ thể (tỉnh/thành phố, xã/phường/đặc khu) hoặc tên tuyến, chợ, khu dân cư.</w:t>
      </w:r>
    </w:p>
    <w:p>
      <w:pPr>
        <w:jc w:val="both"/>
      </w:pPr>
      <w:r>
        <w:rPr>
          <w:b w:val="0"/>
          <w:i w:val="0"/>
        </w:rPr>
        <w:t>4.2. Trong khu vực bảo hộ, Bên A không ký đại lý mới cùng cấp với Bên B cho các mặt hàng ghi tại Phụ lục 2. Khách hàng trong khu vực liên hệ trực tiếp Bên A được chuyển cho Bên B theo cách: …….</w:t>
      </w:r>
    </w:p>
    <w:p>
      <w:pPr>
        <w:jc w:val="both"/>
      </w:pPr>
      <w:r>
        <w:rPr>
          <w:b w:val="0"/>
          <w:i w:val="0"/>
        </w:rPr>
        <w:t>4.3. Điều kiện giữ khu vực: doanh số tối thiểu …… mỗi …… (tháng/quý). Không đạt trong …… kỳ liên tiếp, Bên A được thu hẹp hoặc thu hồi khu vực sau khi thông báo bằng văn bản trước tối thiểu …… ngày.</w:t>
      </w:r>
    </w:p>
    <w:p>
      <w:pPr>
        <w:jc w:val="both"/>
      </w:pPr>
      <w:r>
        <w:rPr>
          <w:b w:val="0"/>
          <w:i w:val="0"/>
        </w:rPr>
        <w:t>4.4. Bán ngoài khu vực, bán online về khu vực của đại lý khác: …… (được/không được/điều kiện).</w:t>
      </w:r>
    </w:p>
    <w:p>
      <w:pPr>
        <w:jc w:val="both"/>
      </w:pPr>
      <w:r>
        <w:rPr>
          <w:b w:val="0"/>
          <w:i/>
        </w:rPr>
        <w:t>Hướng dẫn: Khu vực mô tả càng cụ thể càng ít tranh chấp. Ghi rõ lý do thu hồi và thời gian báo trước; không để câu chung chung như “theo quyết định của Bên A”.</w:t>
      </w:r>
    </w:p>
    <w:p>
      <w:pPr>
        <w:spacing w:before="160"/>
        <w:jc w:val="both"/>
      </w:pPr>
      <w:r>
        <w:rPr>
          <w:b/>
          <w:i w:val="0"/>
        </w:rPr>
        <w:t>Điều 5. Đặt hàng, giao nhận, vận chuyển và hóa đơn</w:t>
      </w:r>
    </w:p>
    <w:p>
      <w:pPr>
        <w:jc w:val="both"/>
      </w:pPr>
      <w:r>
        <w:rPr>
          <w:b w:val="0"/>
          <w:i w:val="0"/>
        </w:rPr>
        <w:t>5.1. Bên B đặt hàng bằng đơn đặt hàng gửi qua email …… hoặc Zalo/số điện thoại ……. Đơn ghi tên hàng, quy cách, số lượng, địa điểm và ngày nhận. Bên A xác nhận đơn trong …… giờ làm việc.</w:t>
      </w:r>
    </w:p>
    <w:p>
      <w:pPr>
        <w:jc w:val="both"/>
      </w:pPr>
      <w:r>
        <w:rPr>
          <w:b w:val="0"/>
          <w:i w:val="0"/>
        </w:rPr>
        <w:t>5.2. Thời gian giao: …… ngày kể từ khi xác nhận đơn. Địa điểm giao: …….</w:t>
      </w:r>
    </w:p>
    <w:p>
      <w:pPr>
        <w:jc w:val="both"/>
      </w:pPr>
      <w:r>
        <w:rPr>
          <w:b w:val="0"/>
          <w:i w:val="0"/>
        </w:rPr>
        <w:t>5.3. Phí vận chuyển do …… chịu; trường hợp khác: …….</w:t>
      </w:r>
    </w:p>
    <w:p>
      <w:pPr>
        <w:jc w:val="both"/>
      </w:pPr>
      <w:r>
        <w:rPr>
          <w:b w:val="0"/>
          <w:i w:val="0"/>
        </w:rPr>
        <w:t>5.4. Khi nhận hàng, Bên B kiểm số lượng, quy cách, bao bì, hạn sử dụng và ký biên bản giao nhận. Hàng thiếu, hỏng, sai quy cách báo Bên A trong …… ngày kể từ khi nhận, kèm ảnh hoặc video.</w:t>
      </w:r>
    </w:p>
    <w:p>
      <w:pPr>
        <w:jc w:val="both"/>
      </w:pPr>
      <w:r>
        <w:rPr>
          <w:b w:val="0"/>
          <w:i w:val="0"/>
        </w:rPr>
        <w:t>5.5. Hóa đơn: Bên A xuất hóa đơn theo quy định hiện hành cho mỗi lần giao hàng hoặc theo ……. Thông tin xuất hóa đơn của Bên B: …….</w:t>
      </w:r>
    </w:p>
    <w:p>
      <w:pPr>
        <w:spacing w:before="160"/>
        <w:jc w:val="both"/>
      </w:pPr>
      <w:r>
        <w:rPr>
          <w:b/>
          <w:i w:val="0"/>
        </w:rPr>
        <w:t>Điều 6. Thanh toán, đặt cọc và công nợ</w:t>
      </w:r>
    </w:p>
    <w:p>
      <w:pPr>
        <w:jc w:val="both"/>
      </w:pPr>
      <w:r>
        <w:rPr>
          <w:b w:val="0"/>
          <w:i w:val="0"/>
        </w:rPr>
        <w:t>6.1. Đặt cọc hoặc biện pháp bảo đảm (nếu có): …… đồng, nộp ngày ……. Bên A hoàn trả khoản cọc trong …… ngày khi hợp đồng chấm dứt, sau khi hai bên đối chiếu xong công nợ.</w:t>
      </w:r>
    </w:p>
    <w:p>
      <w:pPr>
        <w:jc w:val="both"/>
      </w:pPr>
      <w:r>
        <w:rPr>
          <w:b w:val="0"/>
          <w:i w:val="0"/>
        </w:rPr>
        <w:t>6.2. Hạn mức công nợ: tối đa …… đồng; mỗi lô hàng thanh toán trong …… ngày kể từ ngày giao. Quá hạn, Bên A được tạm dừng giao hàng mới.</w:t>
      </w:r>
    </w:p>
    <w:p>
      <w:pPr>
        <w:jc w:val="both"/>
      </w:pPr>
      <w:r>
        <w:rPr>
          <w:b w:val="0"/>
          <w:i w:val="0"/>
        </w:rPr>
        <w:t>6.3. Đối chiếu công nợ mỗi …… (tháng/quý) bằng biên bản hoặc bảng đối chiếu có xác nhận hai bên.</w:t>
      </w:r>
    </w:p>
    <w:p>
      <w:pPr>
        <w:jc w:val="both"/>
      </w:pPr>
      <w:r>
        <w:rPr>
          <w:b w:val="0"/>
          <w:i w:val="0"/>
        </w:rPr>
        <w:t>6.4. Hình thức thanh toán: chuyển khoản vào tài khoản ghi ở phần đầu hợp đồng. Thù lao đại lý (nếu tính theo hoa hồng) trả …… (theo từng đợt/tháng/quý).</w:t>
      </w:r>
    </w:p>
    <w:p>
      <w:pPr>
        <w:jc w:val="both"/>
      </w:pPr>
      <w:r>
        <w:rPr>
          <w:b w:val="0"/>
          <w:i/>
        </w:rPr>
        <w:t>Hướng dẫn: Theo Điều 176 Luật Thương mại 2005, nếu không thỏa thuận khác thì việc thanh toán tiền hàng và thù lao đại lý làm theo từng đợt sau khi Bên B bán xong một khối lượng hàng hóa. Ghi rõ số tiền, hạn, cách trả để tránh hiểu khác nhau.</w:t>
      </w:r>
    </w:p>
    <w:p>
      <w:pPr>
        <w:spacing w:before="160"/>
        <w:jc w:val="both"/>
      </w:pPr>
      <w:r>
        <w:rPr>
          <w:b/>
          <w:i w:val="0"/>
        </w:rPr>
        <w:t>Điều 7. Điều chỉnh giá, bù chênh và mua lại hàng tồn</w:t>
      </w:r>
    </w:p>
    <w:p>
      <w:pPr>
        <w:jc w:val="both"/>
      </w:pPr>
      <w:r>
        <w:rPr>
          <w:b w:val="0"/>
          <w:i w:val="0"/>
        </w:rPr>
        <w:t>7.1. Khi đổi giá niêm yết, Bên A thông báo bằng văn bản trước tối thiểu …… ngày. Đơn đã xác nhận trước ngày giá mới có hiệu lực áp dụng giá cũ.</w:t>
      </w:r>
    </w:p>
    <w:p>
      <w:pPr>
        <w:jc w:val="both"/>
      </w:pPr>
      <w:r>
        <w:rPr>
          <w:b w:val="0"/>
          <w:i w:val="0"/>
        </w:rPr>
        <w:t>7.2. Khi giảm giá niêm yết, hàng Bên B đang tồn được bù chênh theo cách: …… (trừ vào đơn sau/hoàn tiền/không bù).</w:t>
      </w:r>
    </w:p>
    <w:p>
      <w:pPr>
        <w:jc w:val="both"/>
      </w:pPr>
      <w:r>
        <w:rPr>
          <w:b w:val="0"/>
          <w:i w:val="0"/>
        </w:rPr>
        <w:t>7.3. Mua lại hàng tồn: nhóm hàng được mua lại ……; tỷ lệ mua lại ……% trên giá ……; điều kiện hàng (còn nguyên bao bì, còn hạn sử dụng tối thiểu …… tháng, có hóa đơn hoặc phiếu xuất); thời hạn đề nghị …….</w:t>
      </w:r>
    </w:p>
    <w:p>
      <w:pPr>
        <w:jc w:val="both"/>
      </w:pPr>
      <w:r>
        <w:rPr>
          <w:b w:val="0"/>
          <w:i w:val="0"/>
        </w:rPr>
        <w:t>7.4. Hàng quá hạn, hư hỏng do bảo quản của Bên B: …….</w:t>
      </w:r>
    </w:p>
    <w:p>
      <w:pPr>
        <w:jc w:val="both"/>
      </w:pPr>
      <w:r>
        <w:rPr>
          <w:b w:val="0"/>
          <w:i/>
        </w:rPr>
        <w:t>Hướng dẫn: Ghi rõ nhóm hàng nào được mua lại, tính trên giá nào và chứng từ cần có. Hàng in riêng, khắc tên hoặc đặt riêng thường không thuộc diện mua lại – ghi rõ nếu có.</w:t>
      </w:r>
    </w:p>
    <w:p>
      <w:pPr>
        <w:spacing w:before="160"/>
        <w:jc w:val="both"/>
      </w:pPr>
      <w:r>
        <w:rPr>
          <w:b/>
          <w:i w:val="0"/>
        </w:rPr>
        <w:t>Điều 8. Quyền và nghĩa vụ của Bên A</w:t>
      </w:r>
    </w:p>
    <w:p>
      <w:pPr>
        <w:jc w:val="both"/>
      </w:pPr>
      <w:r>
        <w:rPr>
          <w:b w:val="0"/>
          <w:i w:val="0"/>
        </w:rPr>
        <w:t>8.1. Ấn định giá bán, mức thù lao theo hợp đồng; yêu cầu Bên B thực hiện biện pháp bảo đảm đã thỏa thuận; kiểm tra, giám sát việc bán hàng trong khu vực.</w:t>
      </w:r>
    </w:p>
    <w:p>
      <w:pPr>
        <w:jc w:val="both"/>
      </w:pPr>
      <w:r>
        <w:rPr>
          <w:b w:val="0"/>
          <w:i w:val="0"/>
        </w:rPr>
        <w:t>8.2. Giao hàng đúng chủng loại, quy cách, thời hạn; chịu trách nhiệm về chất lượng hàng hóa đã giao.</w:t>
      </w:r>
    </w:p>
    <w:p>
      <w:pPr>
        <w:jc w:val="both"/>
      </w:pPr>
      <w:r>
        <w:rPr>
          <w:b w:val="0"/>
          <w:i w:val="0"/>
        </w:rPr>
        <w:t>8.3. Hướng dẫn, cung cấp thông tin sản phẩm, chứng từ, hình ảnh, tài liệu bán hàng cho Bên B; thông báo kịp thời thay đổi về giá, sản phẩm, chính sách.</w:t>
      </w:r>
    </w:p>
    <w:p>
      <w:pPr>
        <w:jc w:val="both"/>
      </w:pPr>
      <w:r>
        <w:rPr>
          <w:b w:val="0"/>
          <w:i w:val="0"/>
        </w:rPr>
        <w:t>8.4. Trả thù lao và các chi phí hợp lý khác đã thỏa thuận; hoàn trả tài sản bảo đảm khi hợp đồng chấm dứt.</w:t>
      </w:r>
    </w:p>
    <w:p>
      <w:pPr>
        <w:jc w:val="both"/>
      </w:pPr>
      <w:r>
        <w:rPr>
          <w:b w:val="0"/>
          <w:i w:val="0"/>
        </w:rPr>
        <w:t>8.5. Không ký đại lý mới cùng cấp trong khu vực bảo hộ của Bên B khi Bên B đang đáp ứng điều kiện tại Điều 4.</w:t>
      </w:r>
    </w:p>
    <w:p>
      <w:pPr>
        <w:spacing w:before="160"/>
        <w:jc w:val="both"/>
      </w:pPr>
      <w:r>
        <w:rPr>
          <w:b/>
          <w:i w:val="0"/>
        </w:rPr>
        <w:t>Điều 9. Quyền và nghĩa vụ của Bên B</w:t>
      </w:r>
    </w:p>
    <w:p>
      <w:pPr>
        <w:jc w:val="both"/>
      </w:pPr>
      <w:r>
        <w:rPr>
          <w:b w:val="0"/>
          <w:i w:val="0"/>
        </w:rPr>
        <w:t>9.1. Yêu cầu Bên A giao hàng, cung cấp thông tin, chứng từ và hướng dẫn cần thiết; hưởng thù lao theo Điều 3.</w:t>
      </w:r>
    </w:p>
    <w:p>
      <w:pPr>
        <w:jc w:val="both"/>
      </w:pPr>
      <w:r>
        <w:rPr>
          <w:b w:val="0"/>
          <w:i w:val="0"/>
        </w:rPr>
        <w:t>9.2. Bán theo giá niêm yết và chính sách giá tại Điều 3 trên mọi kênh; không bán phá giá, không tự đổi bao bì, nhãn, tên sản phẩm.</w:t>
      </w:r>
    </w:p>
    <w:p>
      <w:pPr>
        <w:jc w:val="both"/>
      </w:pPr>
      <w:r>
        <w:rPr>
          <w:b w:val="0"/>
          <w:i w:val="0"/>
        </w:rPr>
        <w:t>9.3. Dùng tên thương hiệu, logo, hình ảnh, tài liệu do Bên A cung cấp đúng mục đích bán hàng trong thời hạn hợp đồng; không tự nói thêm công dụng hay chứng nhận ngoài tài liệu Bên A cung cấp. Biển hiệu, ấn phẩm: …….</w:t>
      </w:r>
    </w:p>
    <w:p>
      <w:pPr>
        <w:jc w:val="both"/>
      </w:pPr>
      <w:r>
        <w:rPr>
          <w:b w:val="0"/>
          <w:i w:val="0"/>
        </w:rPr>
        <w:t>9.4. Bảo quản hàng hóa đúng hướng dẫn (khô, thoáng, tránh mùi lạ, tránh nắng); bán hàng theo thứ tự hạn sử dụng.</w:t>
      </w:r>
    </w:p>
    <w:p>
      <w:pPr>
        <w:jc w:val="both"/>
      </w:pPr>
      <w:r>
        <w:rPr>
          <w:b w:val="0"/>
          <w:i w:val="0"/>
        </w:rPr>
        <w:t>9.5. Báo cáo bán hàng, tồn kho mỗi ……; chịu sự kiểm tra của Bên A theo hợp đồng.</w:t>
      </w:r>
    </w:p>
    <w:p>
      <w:pPr>
        <w:jc w:val="both"/>
      </w:pPr>
      <w:r>
        <w:rPr>
          <w:b w:val="0"/>
          <w:i w:val="0"/>
        </w:rPr>
        <w:t>9.6. Thanh toán tiền hàng đúng hạn; thực hiện biện pháp bảo đảm đã thỏa thuận; tuân thủ quy định pháp luật về kinh doanh, thuế, an toàn thực phẩm tại nơi bán.</w:t>
      </w:r>
    </w:p>
    <w:p>
      <w:pPr>
        <w:spacing w:before="160"/>
        <w:jc w:val="both"/>
      </w:pPr>
      <w:r>
        <w:rPr>
          <w:b/>
          <w:i w:val="0"/>
        </w:rPr>
        <w:t>Điều 10. Thời hạn, gia hạn và chấm dứt hợp đồng</w:t>
      </w:r>
    </w:p>
    <w:p>
      <w:pPr>
        <w:jc w:val="both"/>
      </w:pPr>
      <w:r>
        <w:rPr>
          <w:b w:val="0"/>
          <w:i w:val="0"/>
        </w:rPr>
        <w:t>10.1. Hợp đồng có thời hạn …… tháng, từ ngày …… đến ngày …….</w:t>
      </w:r>
    </w:p>
    <w:p>
      <w:pPr>
        <w:jc w:val="both"/>
      </w:pPr>
      <w:r>
        <w:rPr>
          <w:b w:val="0"/>
          <w:i w:val="0"/>
        </w:rPr>
        <w:t>10.2. Trước khi hết hạn …… ngày, hai bên trao đổi việc gia hạn. Gia hạn hoặc sửa đổi hợp đồng làm bằng phụ lục có chữ ký hai bên.</w:t>
      </w:r>
    </w:p>
    <w:p>
      <w:pPr>
        <w:jc w:val="both"/>
      </w:pPr>
      <w:r>
        <w:rPr>
          <w:b w:val="0"/>
          <w:i w:val="0"/>
        </w:rPr>
        <w:t>10.3. Mỗi bên có quyền chấm dứt hợp đồng bằng thông báo văn bản gửi bên kia trước tối thiểu …… ngày (không ít hơn 60 ngày, trừ khi hai bên thỏa thuận khác).</w:t>
      </w:r>
    </w:p>
    <w:p>
      <w:pPr>
        <w:jc w:val="both"/>
      </w:pPr>
      <w:r>
        <w:rPr>
          <w:b w:val="0"/>
          <w:i w:val="0"/>
        </w:rPr>
        <w:t>10.4. Khi chấm dứt: hai bên đối chiếu công nợ, hàng tồn trong …… ngày; hàng còn lại xử lý theo …… (Bên A nhận lại/mua lại theo Điều 7/Bên B bán tiếp đến ngày ……); Bên B tháo hoặc sửa biển hiệu, gỡ hình ảnh thương hiệu Bên A trên các kênh trong …… ngày.</w:t>
      </w:r>
    </w:p>
    <w:p>
      <w:pPr>
        <w:jc w:val="both"/>
      </w:pPr>
      <w:r>
        <w:rPr>
          <w:b w:val="0"/>
          <w:i w:val="0"/>
        </w:rPr>
        <w:t>10.5. Bồi thường khi Bên A chủ động chấm dứt: …… (hai bên thỏa thuận hoặc áp dụng theo Điều 177 Luật Thương mại 2005).</w:t>
      </w:r>
    </w:p>
    <w:p>
      <w:pPr>
        <w:jc w:val="both"/>
      </w:pPr>
      <w:r>
        <w:rPr>
          <w:b w:val="0"/>
          <w:i/>
        </w:rPr>
        <w:t>Hướng dẫn: Theo Điều 177 Luật Thương mại 2005, nếu không có thỏa thuận khác thì hợp đồng đại lý chỉ chấm dứt sau thời gian hợp lý, không sớm hơn 60 ngày kể từ khi một bên thông báo bằng văn bản; nếu bên giao đại lý chấm dứt thì bên đại lý được yêu cầu bồi thường một khoản bằng một tháng thù lao trung bình cho mỗi năm làm đại lý. Muốn áp dụng khác thì ghi rõ trong khoản 10.5.</w:t>
      </w:r>
    </w:p>
    <w:p>
      <w:pPr>
        <w:spacing w:before="160"/>
        <w:jc w:val="both"/>
      </w:pPr>
      <w:r>
        <w:rPr>
          <w:b/>
          <w:i w:val="0"/>
        </w:rPr>
        <w:t>Điều 11. Vi phạm hợp đồng, bất khả kháng và giải quyết tranh chấp</w:t>
      </w:r>
    </w:p>
    <w:p>
      <w:pPr>
        <w:jc w:val="both"/>
      </w:pPr>
      <w:r>
        <w:rPr>
          <w:b w:val="0"/>
          <w:i w:val="0"/>
        </w:rPr>
        <w:t>11.1. Bên vi phạm chịu phạt ……% giá trị phần nghĩa vụ bị vi phạm (giữa thương nhân, Luật Thương mại 2005 giới hạn không quá 8%) và bồi thường thiệt hại thực tế theo quy định của pháp luật.</w:t>
      </w:r>
    </w:p>
    <w:p>
      <w:pPr>
        <w:jc w:val="both"/>
      </w:pPr>
      <w:r>
        <w:rPr>
          <w:b w:val="0"/>
          <w:i w:val="0"/>
        </w:rPr>
        <w:t>11.2. Bán dưới giá niêm yết vượt mức cho phép tại khoản 3.1, bán ngoài khu vực trái khoản 4.4: lần đầu ……; tái phạm …….</w:t>
      </w:r>
    </w:p>
    <w:p>
      <w:pPr>
        <w:jc w:val="both"/>
      </w:pPr>
      <w:r>
        <w:rPr>
          <w:b w:val="0"/>
          <w:i w:val="0"/>
        </w:rPr>
        <w:t>11.3. Bên gặp sự kiện bất khả kháng thông báo ngay cho bên kia và được miễn trách nhiệm theo quy định của pháp luật với phần nghĩa vụ bị ảnh hưởng.</w:t>
      </w:r>
    </w:p>
    <w:p>
      <w:pPr>
        <w:jc w:val="both"/>
      </w:pPr>
      <w:r>
        <w:rPr>
          <w:b w:val="0"/>
          <w:i w:val="0"/>
        </w:rPr>
        <w:t>11.4. Tranh chấp giải quyết trước hết bằng thương lượng, hòa giải trong …… ngày. Không thành, một bên có quyền đưa tranh chấp ra …… (Tòa án có thẩm quyền/Trung tâm trọng tài ……).</w:t>
      </w:r>
    </w:p>
    <w:p>
      <w:pPr>
        <w:spacing w:before="160"/>
        <w:jc w:val="both"/>
      </w:pPr>
      <w:r>
        <w:rPr>
          <w:b/>
          <w:i w:val="0"/>
        </w:rPr>
        <w:t>Điều 12. Điều khoản chung</w:t>
      </w:r>
    </w:p>
    <w:p>
      <w:pPr>
        <w:jc w:val="both"/>
      </w:pPr>
      <w:r>
        <w:rPr>
          <w:b w:val="0"/>
          <w:i w:val="0"/>
        </w:rPr>
        <w:t>12.1. Hợp đồng có hiệu lực từ ngày ký. Phụ lục 1, Phụ lục 2 và các phụ lục bổ sung là bộ phận không tách rời của hợp đồng; phụ lục không được trái với hợp đồng, trừ khi ghi rõ điều được sửa.</w:t>
      </w:r>
    </w:p>
    <w:p>
      <w:pPr>
        <w:jc w:val="both"/>
      </w:pPr>
      <w:r>
        <w:rPr>
          <w:b w:val="0"/>
          <w:i w:val="0"/>
        </w:rPr>
        <w:t>12.2. Thông báo giữa hai bên gửi qua địa chỉ, email, Zalo ghi ở phần đầu hợp đồng có giá trị như văn bản.</w:t>
      </w:r>
    </w:p>
    <w:p>
      <w:pPr>
        <w:jc w:val="both"/>
      </w:pPr>
      <w:r>
        <w:rPr>
          <w:b w:val="0"/>
          <w:i w:val="0"/>
        </w:rPr>
        <w:t>12.3. Hợp đồng lập thành …… bản có giá trị như nhau, mỗi bên giữ …… bản.</w:t>
      </w:r>
    </w:p>
    <w:tbl>
      <w:tblPr>
        <w:tblW w:type="auto" w:w="0"/>
        <w:jc w:val="center"/>
        <w:tblLook w:firstColumn="1" w:firstRow="1" w:lastColumn="0" w:lastRow="0" w:noHBand="0" w:noVBand="1" w:val="04A0"/>
      </w:tblPr>
      <w:tblGrid>
        <w:gridCol w:w="4535"/>
        <w:gridCol w:w="4535"/>
      </w:tblGrid>
      <w:tr>
        <w:tc>
          <w:tcPr>
            <w:tcW w:type="dxa" w:w="4535"/>
          </w:tcPr>
          <w:p>
            <w:pPr>
              <w:jc w:val="center"/>
            </w:pPr>
            <w:r/>
            <w:r>
              <w:rPr>
                <w:b/>
                <w:i w:val="0"/>
              </w:rPr>
              <w:t>ĐẠI DIỆN BÊN A</w:t>
            </w:r>
          </w:p>
        </w:tc>
        <w:tc>
          <w:tcPr>
            <w:tcW w:type="dxa" w:w="4535"/>
          </w:tcPr>
          <w:p>
            <w:pPr>
              <w:jc w:val="center"/>
            </w:pPr>
            <w:r/>
            <w:r>
              <w:rPr>
                <w:b/>
                <w:i w:val="0"/>
              </w:rPr>
              <w:t>ĐẠI DIỆN BÊN B</w:t>
            </w:r>
          </w:p>
        </w:tc>
      </w:tr>
      <w:tr>
        <w:tc>
          <w:tcPr>
            <w:tcW w:type="dxa" w:w="4535"/>
          </w:tcPr>
          <w:p>
            <w:pPr>
              <w:jc w:val="center"/>
            </w:pPr>
            <w:r/>
            <w:r>
              <w:rPr>
                <w:b w:val="0"/>
                <w:i/>
              </w:rPr>
              <w:t>(Ký, ghi rõ họ tên, đóng dấu nếu có)</w:t>
            </w:r>
          </w:p>
        </w:tc>
        <w:tc>
          <w:tcPr>
            <w:tcW w:type="dxa" w:w="4535"/>
          </w:tcPr>
          <w:p>
            <w:pPr>
              <w:jc w:val="center"/>
            </w:pPr>
            <w:r/>
            <w:r>
              <w:rPr>
                <w:b w:val="0"/>
                <w:i/>
              </w:rPr>
              <w:t>(Ký, ghi rõ họ tên, đóng dấu nếu có)</w:t>
            </w:r>
          </w:p>
        </w:tc>
      </w:tr>
    </w:tbl>
    <w:p>
      <w:pPr>
        <w:jc w:val="both"/>
      </w:pPr>
    </w:p>
    <w:p>
      <w:pPr>
        <w:jc w:val="both"/>
      </w:pPr>
    </w:p>
    <w:p>
      <w:pPr>
        <w:jc w:val="both"/>
      </w:pPr>
    </w:p>
    <w:p>
      <w:r>
        <w:br w:type="page"/>
      </w:r>
    </w:p>
    <w:p>
      <w:pPr>
        <w:jc w:val="center"/>
      </w:pPr>
      <w:r>
        <w:rPr>
          <w:b/>
          <w:i w:val="0"/>
        </w:rPr>
        <w:t>PHỤ LỤC 1</w:t>
      </w:r>
    </w:p>
    <w:p>
      <w:pPr>
        <w:jc w:val="center"/>
      </w:pPr>
      <w:r>
        <w:rPr>
          <w:b/>
          <w:i w:val="0"/>
        </w:rPr>
        <w:t>DANH MỤC HÀNG HÓA ĐẠI LÝ VÀ GIÁ</w:t>
      </w:r>
    </w:p>
    <w:p>
      <w:pPr>
        <w:jc w:val="center"/>
      </w:pPr>
      <w:r>
        <w:rPr>
          <w:b w:val="0"/>
          <w:i/>
        </w:rPr>
        <w:t>(Kèm theo Hợp đồng đại lý số ……/HĐĐL ngày ……)</w:t>
      </w:r>
    </w:p>
    <w:p>
      <w:pPr>
        <w:jc w:val="both"/>
      </w:pPr>
      <w:r>
        <w:rPr>
          <w:b w:val="0"/>
          <w:i w:val="0"/>
        </w:rPr>
        <w:t>Bảng giá có hiệu lực từ ngày: ……. Giá dưới đây ☐ đã gồm ☐ chưa gồm thuế GTGT; ☐ đã gồm ☐ chưa gồm phí vận chuyển.</w:t>
      </w:r>
    </w:p>
    <w:tbl>
      <w:tblPr>
        <w:tblStyle w:val="TableGrid"/>
        <w:tblW w:type="auto" w:w="0"/>
        <w:jc w:val="center"/>
        <w:tblLook w:firstColumn="1" w:firstRow="1" w:lastColumn="0" w:lastRow="0" w:noHBand="0" w:noVBand="1" w:val="04A0"/>
      </w:tblPr>
      <w:tblGrid>
        <w:gridCol w:w="1008"/>
        <w:gridCol w:w="1008"/>
        <w:gridCol w:w="1008"/>
        <w:gridCol w:w="1008"/>
        <w:gridCol w:w="1008"/>
        <w:gridCol w:w="1008"/>
        <w:gridCol w:w="1008"/>
        <w:gridCol w:w="1008"/>
        <w:gridCol w:w="1008"/>
      </w:tblGrid>
      <w:tr>
        <w:tc>
          <w:tcPr>
            <w:tcW w:type="dxa" w:w="567"/>
          </w:tcPr>
          <w:p>
            <w:pPr>
              <w:jc w:val="center"/>
            </w:pPr>
            <w:r/>
            <w:r>
              <w:rPr>
                <w:b/>
                <w:sz w:val="22"/>
              </w:rPr>
              <w:t>STT</w:t>
            </w:r>
          </w:p>
        </w:tc>
        <w:tc>
          <w:tcPr>
            <w:tcW w:type="dxa" w:w="1701"/>
          </w:tcPr>
          <w:p>
            <w:pPr>
              <w:jc w:val="center"/>
            </w:pPr>
            <w:r/>
            <w:r>
              <w:rPr>
                <w:b/>
                <w:sz w:val="22"/>
              </w:rPr>
              <w:t>Tên hàng</w:t>
            </w:r>
          </w:p>
        </w:tc>
        <w:tc>
          <w:tcPr>
            <w:tcW w:type="dxa" w:w="907"/>
          </w:tcPr>
          <w:p>
            <w:pPr>
              <w:jc w:val="center"/>
            </w:pPr>
            <w:r/>
            <w:r>
              <w:rPr>
                <w:b/>
                <w:sz w:val="22"/>
              </w:rPr>
              <w:t>Hạng/loại</w:t>
            </w:r>
          </w:p>
        </w:tc>
        <w:tc>
          <w:tcPr>
            <w:tcW w:type="dxa" w:w="1134"/>
          </w:tcPr>
          <w:p>
            <w:pPr>
              <w:jc w:val="center"/>
            </w:pPr>
            <w:r/>
            <w:r>
              <w:rPr>
                <w:b/>
                <w:sz w:val="22"/>
              </w:rPr>
              <w:t>Quy cách đóng gói</w:t>
            </w:r>
          </w:p>
        </w:tc>
        <w:tc>
          <w:tcPr>
            <w:tcW w:type="dxa" w:w="624"/>
          </w:tcPr>
          <w:p>
            <w:pPr>
              <w:jc w:val="center"/>
            </w:pPr>
            <w:r/>
            <w:r>
              <w:rPr>
                <w:b/>
                <w:sz w:val="22"/>
              </w:rPr>
              <w:t>ĐVT</w:t>
            </w:r>
          </w:p>
        </w:tc>
        <w:tc>
          <w:tcPr>
            <w:tcW w:type="dxa" w:w="1077"/>
          </w:tcPr>
          <w:p>
            <w:pPr>
              <w:jc w:val="center"/>
            </w:pPr>
            <w:r/>
            <w:r>
              <w:rPr>
                <w:b/>
                <w:sz w:val="22"/>
              </w:rPr>
              <w:t>Giá niêm yết (đ)</w:t>
            </w:r>
          </w:p>
        </w:tc>
        <w:tc>
          <w:tcPr>
            <w:tcW w:type="dxa" w:w="1020"/>
          </w:tcPr>
          <w:p>
            <w:pPr>
              <w:jc w:val="center"/>
            </w:pPr>
            <w:r/>
            <w:r>
              <w:rPr>
                <w:b/>
                <w:sz w:val="22"/>
              </w:rPr>
              <w:t>Thù lao/chiết khấu (%)</w:t>
            </w:r>
          </w:p>
        </w:tc>
        <w:tc>
          <w:tcPr>
            <w:tcW w:type="dxa" w:w="1077"/>
          </w:tcPr>
          <w:p>
            <w:pPr>
              <w:jc w:val="center"/>
            </w:pPr>
            <w:r/>
            <w:r>
              <w:rPr>
                <w:b/>
                <w:sz w:val="22"/>
              </w:rPr>
              <w:t>Giá giao đại lý (đ)</w:t>
            </w:r>
          </w:p>
        </w:tc>
        <w:tc>
          <w:tcPr>
            <w:tcW w:type="dxa" w:w="964"/>
          </w:tcPr>
          <w:p>
            <w:pPr>
              <w:jc w:val="center"/>
            </w:pPr>
            <w:r/>
            <w:r>
              <w:rPr>
                <w:b/>
                <w:sz w:val="22"/>
              </w:rPr>
              <w:t>Được mua lại (Có/Không)</w:t>
            </w:r>
          </w:p>
        </w:tc>
      </w:tr>
      <w:tr>
        <w:tc>
          <w:tcPr>
            <w:tcW w:type="dxa" w:w="567"/>
          </w:tcPr>
          <w:p>
            <w:pPr>
              <w:jc w:val="center"/>
            </w:pPr>
            <w:r/>
            <w:r>
              <w:rPr>
                <w:sz w:val="22"/>
              </w:rPr>
              <w:t>1</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2</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3</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4</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5</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6</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7</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8</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9</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r>
        <w:tc>
          <w:tcPr>
            <w:tcW w:type="dxa" w:w="567"/>
          </w:tcPr>
          <w:p>
            <w:pPr>
              <w:jc w:val="center"/>
            </w:pPr>
            <w:r/>
            <w:r>
              <w:rPr>
                <w:sz w:val="22"/>
              </w:rPr>
              <w:t>10</w:t>
            </w:r>
          </w:p>
        </w:tc>
        <w:tc>
          <w:tcPr>
            <w:tcW w:type="dxa" w:w="1701"/>
          </w:tcPr>
          <w:p/>
        </w:tc>
        <w:tc>
          <w:tcPr>
            <w:tcW w:type="dxa" w:w="907"/>
          </w:tcPr>
          <w:p/>
        </w:tc>
        <w:tc>
          <w:tcPr>
            <w:tcW w:type="dxa" w:w="1134"/>
          </w:tcPr>
          <w:p/>
        </w:tc>
        <w:tc>
          <w:tcPr>
            <w:tcW w:type="dxa" w:w="624"/>
          </w:tcPr>
          <w:p/>
        </w:tc>
        <w:tc>
          <w:tcPr>
            <w:tcW w:type="dxa" w:w="1077"/>
          </w:tcPr>
          <w:p/>
        </w:tc>
        <w:tc>
          <w:tcPr>
            <w:tcW w:type="dxa" w:w="1020"/>
          </w:tcPr>
          <w:p/>
        </w:tc>
        <w:tc>
          <w:tcPr>
            <w:tcW w:type="dxa" w:w="1077"/>
          </w:tcPr>
          <w:p/>
        </w:tc>
        <w:tc>
          <w:tcPr>
            <w:tcW w:type="dxa" w:w="964"/>
          </w:tcPr>
          <w:p/>
        </w:tc>
      </w:tr>
    </w:tbl>
    <w:p>
      <w:pPr>
        <w:spacing w:before="120"/>
        <w:jc w:val="both"/>
      </w:pPr>
      <w:r>
        <w:rPr>
          <w:b w:val="0"/>
          <w:i w:val="0"/>
        </w:rPr>
        <w:t>Nhóm hàng có mức thù lao riêng: ……</w:t>
      </w:r>
    </w:p>
    <w:p>
      <w:pPr>
        <w:jc w:val="both"/>
      </w:pPr>
      <w:r>
        <w:rPr>
          <w:b w:val="0"/>
          <w:i/>
        </w:rPr>
        <w:t>Hướng dẫn: Lấy số liệu đúng theo bảng chính sách đại lý bằng văn bản Bên A gửi, ghi rõ ngày hiệu lực. Cột “Giá giao đại lý” dùng khi chọn thù lao theo chênh lệch giá; nếu chọn hoa hồng thì để trống cột này. Mỗi lần đổi giá lập phụ lục mới có chữ ký hai bên.</w:t>
      </w:r>
    </w:p>
    <w:p>
      <w:pPr>
        <w:spacing w:before="120"/>
      </w:pPr>
      <w:r>
        <w:rPr>
          <w:b/>
          <w:i w:val="0"/>
        </w:rPr>
        <w:t>ĐẠI DIỆN BÊN A: ……                    ĐẠI DIỆN BÊN B: ……</w:t>
      </w:r>
    </w:p>
    <w:p>
      <w:r>
        <w:br w:type="page"/>
      </w:r>
    </w:p>
    <w:p>
      <w:pPr>
        <w:jc w:val="center"/>
      </w:pPr>
      <w:r>
        <w:rPr>
          <w:b/>
          <w:i w:val="0"/>
        </w:rPr>
        <w:t>PHỤ LỤC 2</w:t>
      </w:r>
    </w:p>
    <w:p>
      <w:pPr>
        <w:jc w:val="center"/>
      </w:pPr>
      <w:r>
        <w:rPr>
          <w:b/>
          <w:i w:val="0"/>
        </w:rPr>
        <w:t>KHU VỰC ĐẠI LÝ VÀ ĐIỀU KIỆN BẢO HỘ</w:t>
      </w:r>
    </w:p>
    <w:p>
      <w:pPr>
        <w:jc w:val="center"/>
      </w:pPr>
      <w:r>
        <w:rPr>
          <w:b w:val="0"/>
          <w:i/>
        </w:rPr>
        <w:t>(Kèm theo Hợp đồng đại lý số ……/HĐĐL ngày ……)</w:t>
      </w:r>
    </w:p>
    <w:tbl>
      <w:tblPr>
        <w:tblStyle w:val="TableGrid"/>
        <w:tblW w:type="auto" w:w="0"/>
        <w:jc w:val="center"/>
        <w:tblLook w:firstColumn="1" w:firstRow="1" w:lastColumn="0" w:lastRow="0" w:noHBand="0" w:noVBand="1" w:val="04A0"/>
      </w:tblPr>
      <w:tblGrid>
        <w:gridCol w:w="1296"/>
        <w:gridCol w:w="1296"/>
        <w:gridCol w:w="1296"/>
        <w:gridCol w:w="1296"/>
        <w:gridCol w:w="1296"/>
        <w:gridCol w:w="1296"/>
        <w:gridCol w:w="1296"/>
      </w:tblGrid>
      <w:tr>
        <w:tc>
          <w:tcPr>
            <w:tcW w:type="dxa" w:w="567"/>
          </w:tcPr>
          <w:p>
            <w:pPr>
              <w:jc w:val="center"/>
            </w:pPr>
            <w:r/>
            <w:r>
              <w:rPr>
                <w:b/>
                <w:sz w:val="22"/>
              </w:rPr>
              <w:t>STT</w:t>
            </w:r>
          </w:p>
        </w:tc>
        <w:tc>
          <w:tcPr>
            <w:tcW w:type="dxa" w:w="1361"/>
          </w:tcPr>
          <w:p>
            <w:pPr>
              <w:jc w:val="center"/>
            </w:pPr>
            <w:r/>
            <w:r>
              <w:rPr>
                <w:b/>
                <w:sz w:val="22"/>
              </w:rPr>
              <w:t>Tỉnh/thành phố</w:t>
            </w:r>
          </w:p>
        </w:tc>
        <w:tc>
          <w:tcPr>
            <w:tcW w:type="dxa" w:w="2041"/>
          </w:tcPr>
          <w:p>
            <w:pPr>
              <w:jc w:val="center"/>
            </w:pPr>
            <w:r/>
            <w:r>
              <w:rPr>
                <w:b/>
                <w:sz w:val="22"/>
              </w:rPr>
              <w:t>Xã/phường/đặc khu hoặc tuyến, chợ</w:t>
            </w:r>
          </w:p>
        </w:tc>
        <w:tc>
          <w:tcPr>
            <w:tcW w:type="dxa" w:w="1134"/>
          </w:tcPr>
          <w:p>
            <w:pPr>
              <w:jc w:val="center"/>
            </w:pPr>
            <w:r/>
            <w:r>
              <w:rPr>
                <w:b/>
                <w:sz w:val="22"/>
              </w:rPr>
              <w:t>Kênh bán</w:t>
            </w:r>
          </w:p>
        </w:tc>
        <w:tc>
          <w:tcPr>
            <w:tcW w:type="dxa" w:w="1361"/>
          </w:tcPr>
          <w:p>
            <w:pPr>
              <w:jc w:val="center"/>
            </w:pPr>
            <w:r/>
            <w:r>
              <w:rPr>
                <w:b/>
                <w:sz w:val="22"/>
              </w:rPr>
              <w:t>Mức bảo hộ (độc quyền/không)</w:t>
            </w:r>
          </w:p>
        </w:tc>
        <w:tc>
          <w:tcPr>
            <w:tcW w:type="dxa" w:w="1247"/>
          </w:tcPr>
          <w:p>
            <w:pPr>
              <w:jc w:val="center"/>
            </w:pPr>
            <w:r/>
            <w:r>
              <w:rPr>
                <w:b/>
                <w:sz w:val="22"/>
              </w:rPr>
              <w:t>Doanh số tối thiểu/kỳ</w:t>
            </w:r>
          </w:p>
        </w:tc>
        <w:tc>
          <w:tcPr>
            <w:tcW w:type="dxa" w:w="1361"/>
          </w:tcPr>
          <w:p>
            <w:pPr>
              <w:jc w:val="center"/>
            </w:pPr>
            <w:r/>
            <w:r>
              <w:rPr>
                <w:b/>
                <w:sz w:val="22"/>
              </w:rPr>
              <w:t>Ghi chú</w:t>
            </w:r>
          </w:p>
        </w:tc>
      </w:tr>
      <w:tr>
        <w:tc>
          <w:tcPr>
            <w:tcW w:type="dxa" w:w="567"/>
          </w:tcPr>
          <w:p>
            <w:pPr>
              <w:jc w:val="center"/>
            </w:pPr>
            <w:r/>
            <w:r>
              <w:rPr>
                <w:sz w:val="22"/>
              </w:rPr>
              <w:t>1</w:t>
            </w:r>
          </w:p>
        </w:tc>
        <w:tc>
          <w:tcPr>
            <w:tcW w:type="dxa" w:w="1361"/>
          </w:tcPr>
          <w:p/>
        </w:tc>
        <w:tc>
          <w:tcPr>
            <w:tcW w:type="dxa" w:w="2041"/>
          </w:tcPr>
          <w:p/>
        </w:tc>
        <w:tc>
          <w:tcPr>
            <w:tcW w:type="dxa" w:w="1134"/>
          </w:tcPr>
          <w:p/>
        </w:tc>
        <w:tc>
          <w:tcPr>
            <w:tcW w:type="dxa" w:w="1361"/>
          </w:tcPr>
          <w:p/>
        </w:tc>
        <w:tc>
          <w:tcPr>
            <w:tcW w:type="dxa" w:w="1247"/>
          </w:tcPr>
          <w:p/>
        </w:tc>
        <w:tc>
          <w:tcPr>
            <w:tcW w:type="dxa" w:w="1361"/>
          </w:tcPr>
          <w:p/>
        </w:tc>
      </w:tr>
      <w:tr>
        <w:tc>
          <w:tcPr>
            <w:tcW w:type="dxa" w:w="567"/>
          </w:tcPr>
          <w:p>
            <w:pPr>
              <w:jc w:val="center"/>
            </w:pPr>
            <w:r/>
            <w:r>
              <w:rPr>
                <w:sz w:val="22"/>
              </w:rPr>
              <w:t>2</w:t>
            </w:r>
          </w:p>
        </w:tc>
        <w:tc>
          <w:tcPr>
            <w:tcW w:type="dxa" w:w="1361"/>
          </w:tcPr>
          <w:p/>
        </w:tc>
        <w:tc>
          <w:tcPr>
            <w:tcW w:type="dxa" w:w="2041"/>
          </w:tcPr>
          <w:p/>
        </w:tc>
        <w:tc>
          <w:tcPr>
            <w:tcW w:type="dxa" w:w="1134"/>
          </w:tcPr>
          <w:p/>
        </w:tc>
        <w:tc>
          <w:tcPr>
            <w:tcW w:type="dxa" w:w="1361"/>
          </w:tcPr>
          <w:p/>
        </w:tc>
        <w:tc>
          <w:tcPr>
            <w:tcW w:type="dxa" w:w="1247"/>
          </w:tcPr>
          <w:p/>
        </w:tc>
        <w:tc>
          <w:tcPr>
            <w:tcW w:type="dxa" w:w="1361"/>
          </w:tcPr>
          <w:p/>
        </w:tc>
      </w:tr>
      <w:tr>
        <w:tc>
          <w:tcPr>
            <w:tcW w:type="dxa" w:w="567"/>
          </w:tcPr>
          <w:p>
            <w:pPr>
              <w:jc w:val="center"/>
            </w:pPr>
            <w:r/>
            <w:r>
              <w:rPr>
                <w:sz w:val="22"/>
              </w:rPr>
              <w:t>3</w:t>
            </w:r>
          </w:p>
        </w:tc>
        <w:tc>
          <w:tcPr>
            <w:tcW w:type="dxa" w:w="1361"/>
          </w:tcPr>
          <w:p/>
        </w:tc>
        <w:tc>
          <w:tcPr>
            <w:tcW w:type="dxa" w:w="2041"/>
          </w:tcPr>
          <w:p/>
        </w:tc>
        <w:tc>
          <w:tcPr>
            <w:tcW w:type="dxa" w:w="1134"/>
          </w:tcPr>
          <w:p/>
        </w:tc>
        <w:tc>
          <w:tcPr>
            <w:tcW w:type="dxa" w:w="1361"/>
          </w:tcPr>
          <w:p/>
        </w:tc>
        <w:tc>
          <w:tcPr>
            <w:tcW w:type="dxa" w:w="1247"/>
          </w:tcPr>
          <w:p/>
        </w:tc>
        <w:tc>
          <w:tcPr>
            <w:tcW w:type="dxa" w:w="1361"/>
          </w:tcPr>
          <w:p/>
        </w:tc>
      </w:tr>
      <w:tr>
        <w:tc>
          <w:tcPr>
            <w:tcW w:type="dxa" w:w="567"/>
          </w:tcPr>
          <w:p>
            <w:pPr>
              <w:jc w:val="center"/>
            </w:pPr>
            <w:r/>
            <w:r>
              <w:rPr>
                <w:sz w:val="22"/>
              </w:rPr>
              <w:t>4</w:t>
            </w:r>
          </w:p>
        </w:tc>
        <w:tc>
          <w:tcPr>
            <w:tcW w:type="dxa" w:w="1361"/>
          </w:tcPr>
          <w:p/>
        </w:tc>
        <w:tc>
          <w:tcPr>
            <w:tcW w:type="dxa" w:w="2041"/>
          </w:tcPr>
          <w:p/>
        </w:tc>
        <w:tc>
          <w:tcPr>
            <w:tcW w:type="dxa" w:w="1134"/>
          </w:tcPr>
          <w:p/>
        </w:tc>
        <w:tc>
          <w:tcPr>
            <w:tcW w:type="dxa" w:w="1361"/>
          </w:tcPr>
          <w:p/>
        </w:tc>
        <w:tc>
          <w:tcPr>
            <w:tcW w:type="dxa" w:w="1247"/>
          </w:tcPr>
          <w:p/>
        </w:tc>
        <w:tc>
          <w:tcPr>
            <w:tcW w:type="dxa" w:w="1361"/>
          </w:tcPr>
          <w:p/>
        </w:tc>
      </w:tr>
      <w:tr>
        <w:tc>
          <w:tcPr>
            <w:tcW w:type="dxa" w:w="567"/>
          </w:tcPr>
          <w:p>
            <w:pPr>
              <w:jc w:val="center"/>
            </w:pPr>
            <w:r/>
            <w:r>
              <w:rPr>
                <w:sz w:val="22"/>
              </w:rPr>
              <w:t>5</w:t>
            </w:r>
          </w:p>
        </w:tc>
        <w:tc>
          <w:tcPr>
            <w:tcW w:type="dxa" w:w="1361"/>
          </w:tcPr>
          <w:p/>
        </w:tc>
        <w:tc>
          <w:tcPr>
            <w:tcW w:type="dxa" w:w="2041"/>
          </w:tcPr>
          <w:p/>
        </w:tc>
        <w:tc>
          <w:tcPr>
            <w:tcW w:type="dxa" w:w="1134"/>
          </w:tcPr>
          <w:p/>
        </w:tc>
        <w:tc>
          <w:tcPr>
            <w:tcW w:type="dxa" w:w="1361"/>
          </w:tcPr>
          <w:p/>
        </w:tc>
        <w:tc>
          <w:tcPr>
            <w:tcW w:type="dxa" w:w="1247"/>
          </w:tcPr>
          <w:p/>
        </w:tc>
        <w:tc>
          <w:tcPr>
            <w:tcW w:type="dxa" w:w="1361"/>
          </w:tcPr>
          <w:p/>
        </w:tc>
      </w:tr>
      <w:tr>
        <w:tc>
          <w:tcPr>
            <w:tcW w:type="dxa" w:w="567"/>
          </w:tcPr>
          <w:p>
            <w:pPr>
              <w:jc w:val="center"/>
            </w:pPr>
            <w:r/>
            <w:r>
              <w:rPr>
                <w:sz w:val="22"/>
              </w:rPr>
              <w:t>6</w:t>
            </w:r>
          </w:p>
        </w:tc>
        <w:tc>
          <w:tcPr>
            <w:tcW w:type="dxa" w:w="1361"/>
          </w:tcPr>
          <w:p/>
        </w:tc>
        <w:tc>
          <w:tcPr>
            <w:tcW w:type="dxa" w:w="2041"/>
          </w:tcPr>
          <w:p/>
        </w:tc>
        <w:tc>
          <w:tcPr>
            <w:tcW w:type="dxa" w:w="1134"/>
          </w:tcPr>
          <w:p/>
        </w:tc>
        <w:tc>
          <w:tcPr>
            <w:tcW w:type="dxa" w:w="1361"/>
          </w:tcPr>
          <w:p/>
        </w:tc>
        <w:tc>
          <w:tcPr>
            <w:tcW w:type="dxa" w:w="1247"/>
          </w:tcPr>
          <w:p/>
        </w:tc>
        <w:tc>
          <w:tcPr>
            <w:tcW w:type="dxa" w:w="1361"/>
          </w:tcPr>
          <w:p/>
        </w:tc>
      </w:tr>
    </w:tbl>
    <w:p>
      <w:pPr>
        <w:spacing w:before="120"/>
        <w:jc w:val="both"/>
      </w:pPr>
      <w:r>
        <w:rPr>
          <w:b w:val="0"/>
          <w:i w:val="0"/>
        </w:rPr>
        <w:t>Kênh online được phép (sàn, mạng xã hội, website): ……</w:t>
      </w:r>
    </w:p>
    <w:p>
      <w:pPr>
        <w:jc w:val="both"/>
      </w:pPr>
      <w:r>
        <w:rPr>
          <w:b w:val="0"/>
          <w:i w:val="0"/>
        </w:rPr>
        <w:t>Thời gian báo trước khi thu hẹp hoặc thu hồi khu vực: …… ngày.</w:t>
      </w:r>
    </w:p>
    <w:p>
      <w:pPr>
        <w:jc w:val="both"/>
      </w:pPr>
      <w:r>
        <w:rPr>
          <w:b w:val="0"/>
          <w:i/>
        </w:rPr>
        <w:t>Hướng dẫn: Ghi tên đơn vị hành chính theo tên gọi hiện hành sau sắp xếp. Cột “Kênh bán” ghi rõ cửa hàng, quán, đại lý cấp dưới hay online để hai bên cùng hiểu phạm vi bảo hộ.</w:t>
      </w:r>
    </w:p>
    <w:p>
      <w:pPr>
        <w:spacing w:before="120"/>
      </w:pPr>
      <w:r>
        <w:rPr>
          <w:b/>
          <w:i w:val="0"/>
        </w:rPr>
        <w:t>ĐẠI DIỆN BÊN A: ……                    ĐẠI DIỆN BÊN B: ……</w:t>
      </w:r>
    </w:p>
    <w:p>
      <w:pPr>
        <w:spacing w:before="240"/>
        <w:jc w:val="both"/>
      </w:pPr>
      <w:r>
        <w:rPr>
          <w:b w:val="0"/>
          <w:i/>
        </w:rPr>
        <w:t>Lưu ý: kiểm tra lại văn bản pháp luật đang có hiệu lực tại thời điểm ký và nhờ luật sư xem trước khi ký.</w:t>
      </w:r>
    </w:p>
    <w:p>
      <w:pPr>
        <w:jc w:val="both"/>
      </w:pPr>
      <w:r>
        <w:rPr>
          <w:b w:val="0"/>
          <w:i/>
        </w:rPr>
        <w:t>Mẫu tham khảo, các bên tự điều chỉnh; không thay tư vấn pháp lý.</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cs="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